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C5255">
      <w:pPr>
        <w:keepNext w:val="0"/>
        <w:keepLines w:val="0"/>
        <w:pageBreakBefore w:val="0"/>
        <w:widowControl w:val="0"/>
        <w:kinsoku/>
        <w:wordWrap/>
        <w:topLinePunct w:val="0"/>
        <w:autoSpaceDE/>
        <w:autoSpaceDN/>
        <w:bidi w:val="0"/>
        <w:spacing w:line="600" w:lineRule="exact"/>
        <w:jc w:val="center"/>
        <w:textAlignment w:val="auto"/>
        <w:rPr>
          <w:rFonts w:hint="eastAsia" w:ascii="黑体" w:hAnsi="黑体" w:eastAsia="黑体" w:cs="Times New Roman"/>
          <w:sz w:val="32"/>
          <w:szCs w:val="32"/>
          <w:highlight w:val="none"/>
        </w:rPr>
      </w:pPr>
      <w:r>
        <w:rPr>
          <w:rFonts w:hint="eastAsia" w:ascii="黑体" w:hAnsi="黑体" w:eastAsia="黑体" w:cs="Times New Roman"/>
          <w:sz w:val="32"/>
          <w:szCs w:val="32"/>
          <w:highlight w:val="none"/>
        </w:rPr>
        <w:t>黑体部分为增加内容</w:t>
      </w:r>
      <w:r>
        <w:rPr>
          <w:rFonts w:hint="eastAsia" w:ascii="黑体" w:hAnsi="黑体" w:eastAsia="黑体" w:cs="Times New Roman"/>
          <w:sz w:val="24"/>
          <w:highlight w:val="none"/>
        </w:rPr>
        <w:t xml:space="preserve">  </w:t>
      </w:r>
      <w:r>
        <w:rPr>
          <w:rFonts w:hint="eastAsia" w:ascii="黑体" w:hAnsi="黑体" w:eastAsia="黑体" w:cs="Times New Roman"/>
          <w:sz w:val="32"/>
          <w:szCs w:val="32"/>
          <w:highlight w:val="none"/>
        </w:rPr>
        <w:t>加框部分为删除内容</w:t>
      </w:r>
    </w:p>
    <w:p w14:paraId="3DBDE30F">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hint="eastAsia" w:ascii="仿宋" w:hAnsi="仿宋" w:eastAsia="仿宋" w:cs="仿宋"/>
          <w:b w:val="0"/>
          <w:bCs w:val="0"/>
          <w:spacing w:val="6"/>
          <w:kern w:val="2"/>
          <w:sz w:val="44"/>
          <w:szCs w:val="44"/>
          <w:highlight w:val="none"/>
          <w:lang w:eastAsia="zh-CN"/>
        </w:rPr>
      </w:pPr>
    </w:p>
    <w:p w14:paraId="7B133D75">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hint="eastAsia" w:ascii="仿宋" w:hAnsi="仿宋" w:eastAsia="仿宋" w:cs="仿宋"/>
          <w:b w:val="0"/>
          <w:bCs w:val="0"/>
          <w:spacing w:val="6"/>
          <w:kern w:val="2"/>
          <w:sz w:val="44"/>
          <w:szCs w:val="44"/>
          <w:highlight w:val="none"/>
          <w:lang w:eastAsia="zh-CN"/>
        </w:rPr>
      </w:pPr>
      <w:r>
        <w:rPr>
          <w:rFonts w:hint="eastAsia" w:ascii="仿宋" w:hAnsi="仿宋" w:eastAsia="仿宋" w:cs="仿宋"/>
          <w:b w:val="0"/>
          <w:bCs w:val="0"/>
          <w:spacing w:val="6"/>
          <w:kern w:val="2"/>
          <w:sz w:val="44"/>
          <w:szCs w:val="44"/>
          <w:highlight w:val="none"/>
          <w:lang w:eastAsia="zh-CN"/>
        </w:rPr>
        <w:t>长春市</w:t>
      </w:r>
      <w:r>
        <w:rPr>
          <w:rFonts w:hint="eastAsia" w:ascii="黑体" w:hAnsi="黑体" w:eastAsia="黑体" w:cs="Times New Roman"/>
          <w:b w:val="0"/>
          <w:bCs w:val="0"/>
          <w:sz w:val="44"/>
          <w:szCs w:val="44"/>
          <w:highlight w:val="none"/>
          <w:lang w:eastAsia="zh-CN"/>
        </w:rPr>
        <w:t>城市</w:t>
      </w:r>
      <w:r>
        <w:rPr>
          <w:rFonts w:hint="eastAsia" w:ascii="仿宋" w:hAnsi="仿宋" w:eastAsia="仿宋" w:cs="仿宋"/>
          <w:b w:val="0"/>
          <w:bCs w:val="0"/>
          <w:spacing w:val="6"/>
          <w:kern w:val="2"/>
          <w:sz w:val="44"/>
          <w:szCs w:val="44"/>
          <w:highlight w:val="none"/>
          <w:lang w:eastAsia="zh-CN"/>
        </w:rPr>
        <w:t>轨道交通管理条例</w:t>
      </w:r>
    </w:p>
    <w:p w14:paraId="0FB403E5">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hint="eastAsia" w:ascii="楷体" w:hAnsi="楷体" w:eastAsia="楷体" w:cs="楷体"/>
          <w:spacing w:val="6"/>
          <w:kern w:val="2"/>
          <w:sz w:val="32"/>
          <w:szCs w:val="32"/>
          <w:highlight w:val="none"/>
          <w:lang w:eastAsia="zh-CN"/>
        </w:rPr>
      </w:pPr>
      <w:r>
        <w:rPr>
          <w:rFonts w:hint="eastAsia" w:ascii="楷体" w:hAnsi="楷体" w:eastAsia="楷体" w:cs="楷体"/>
          <w:spacing w:val="6"/>
          <w:kern w:val="2"/>
          <w:sz w:val="32"/>
          <w:szCs w:val="32"/>
          <w:highlight w:val="none"/>
          <w:lang w:eastAsia="zh-CN"/>
        </w:rPr>
        <w:t>（修订稿）</w:t>
      </w:r>
      <w:bookmarkStart w:id="0" w:name="_GoBack"/>
      <w:bookmarkEnd w:id="0"/>
    </w:p>
    <w:p w14:paraId="6A7DD385">
      <w:pPr>
        <w:keepNext w:val="0"/>
        <w:keepLines w:val="0"/>
        <w:pageBreakBefore w:val="0"/>
        <w:widowControl w:val="0"/>
        <w:kinsoku/>
        <w:wordWrap/>
        <w:topLinePunct w:val="0"/>
        <w:autoSpaceDE/>
        <w:autoSpaceDN/>
        <w:bidi w:val="0"/>
        <w:spacing w:line="600" w:lineRule="exact"/>
        <w:jc w:val="center"/>
        <w:textAlignment w:val="auto"/>
        <w:rPr>
          <w:rFonts w:hint="eastAsia" w:ascii="黑体" w:hAnsi="黑体" w:eastAsia="黑体" w:cs="Times New Roman"/>
          <w:sz w:val="32"/>
          <w:szCs w:val="32"/>
          <w:highlight w:val="none"/>
          <w:lang w:eastAsia="zh-CN"/>
        </w:rPr>
      </w:pPr>
    </w:p>
    <w:p w14:paraId="7DBC469A">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ascii="仿宋" w:hAnsi="仿宋" w:eastAsia="黑体" w:cs="仿宋"/>
          <w:kern w:val="2"/>
          <w:sz w:val="32"/>
          <w:szCs w:val="32"/>
          <w:highlight w:val="none"/>
          <w:lang w:eastAsia="zh-CN"/>
        </w:rPr>
      </w:pPr>
      <w:r>
        <w:rPr>
          <w:rFonts w:hint="eastAsia" w:ascii="仿宋" w:hAnsi="仿宋" w:eastAsia="黑体" w:cs="仿宋"/>
          <w:kern w:val="2"/>
          <w:sz w:val="32"/>
          <w:szCs w:val="32"/>
          <w:highlight w:val="none"/>
          <w:lang w:eastAsia="zh-CN"/>
        </w:rPr>
        <w:t>第一章  总  则</w:t>
      </w:r>
    </w:p>
    <w:p w14:paraId="6D2471CF">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第一条</w:t>
      </w:r>
      <w:r>
        <w:rPr>
          <w:rFonts w:hint="eastAsia" w:ascii="仿宋" w:hAnsi="仿宋" w:eastAsia="仿宋" w:cs="仿宋"/>
          <w:spacing w:val="6"/>
          <w:kern w:val="2"/>
          <w:sz w:val="32"/>
          <w:szCs w:val="32"/>
          <w:highlight w:val="none"/>
          <w:lang w:eastAsia="zh-CN"/>
        </w:rPr>
        <w:t xml:space="preserve"> 为了促进</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轨道交通发展，保证</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轨道交通建设和运营安全，维护</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轨道交通运营秩序，根据有关法律、法规，结合本市实际，制定本条例。</w:t>
      </w:r>
    </w:p>
    <w:p w14:paraId="50192A07">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第二条</w:t>
      </w:r>
      <w:r>
        <w:rPr>
          <w:rFonts w:hint="eastAsia" w:ascii="仿宋" w:hAnsi="仿宋" w:eastAsia="仿宋" w:cs="仿宋"/>
          <w:spacing w:val="6"/>
          <w:kern w:val="2"/>
          <w:sz w:val="32"/>
          <w:szCs w:val="32"/>
          <w:highlight w:val="none"/>
          <w:lang w:eastAsia="zh-CN"/>
        </w:rPr>
        <w:t xml:space="preserve"> 本市行政区域内</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轨道交通的规划、建设、运营及其相关管理活动，适用本条例。</w:t>
      </w:r>
    </w:p>
    <w:p w14:paraId="143C62FD">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hint="eastAsia"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本条例所称城市轨道交通，是指地铁、轻轨等城市轨道公共客运系统。</w:t>
      </w:r>
    </w:p>
    <w:p w14:paraId="05C143B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第三条</w:t>
      </w:r>
      <w:r>
        <w:rPr>
          <w:rFonts w:hint="eastAsia" w:ascii="仿宋" w:hAnsi="仿宋" w:eastAsia="仿宋" w:cs="仿宋"/>
          <w:spacing w:val="6"/>
          <w:kern w:val="2"/>
          <w:sz w:val="32"/>
          <w:szCs w:val="32"/>
          <w:highlight w:val="none"/>
          <w:lang w:eastAsia="zh-CN"/>
        </w:rPr>
        <w:t xml:space="preserve"> 轨道交通应当遵循政府主导、统筹规划、优先发展、多元投资、安全便捷、规范运营的原则。</w:t>
      </w:r>
    </w:p>
    <w:p w14:paraId="52F95E4A">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第四条</w:t>
      </w:r>
      <w:r>
        <w:rPr>
          <w:rFonts w:hint="eastAsia" w:ascii="仿宋" w:hAnsi="仿宋" w:eastAsia="仿宋" w:cs="仿宋"/>
          <w:spacing w:val="6"/>
          <w:kern w:val="2"/>
          <w:sz w:val="32"/>
          <w:szCs w:val="32"/>
          <w:highlight w:val="none"/>
          <w:lang w:eastAsia="zh-CN"/>
        </w:rPr>
        <w:t xml:space="preserve"> 市人民政府应当加强对</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轨道交通工作的领导，统筹协调</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轨道交通规划、建设、运营及其相关管理活动涉及的重大事项。</w:t>
      </w:r>
    </w:p>
    <w:p w14:paraId="43A325B5">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市</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轨道交通建设主管部门负责</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轨道交通建设的管理，市交通运输主管部门负责</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轨道交通运营的监督管理。</w:t>
      </w:r>
    </w:p>
    <w:p w14:paraId="64EA6F03">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各有关部门应当按照各自职责，做好</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轨道交通管理的相关工作。</w:t>
      </w:r>
    </w:p>
    <w:p w14:paraId="3AAA1F90">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第五条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轨道交通沿线</w:t>
      </w:r>
      <w:r>
        <w:rPr>
          <w:rFonts w:hint="eastAsia" w:ascii="仿宋" w:hAnsi="仿宋" w:eastAsia="仿宋" w:cs="仿宋"/>
          <w:spacing w:val="6"/>
          <w:kern w:val="2"/>
          <w:sz w:val="32"/>
          <w:szCs w:val="32"/>
          <w:highlight w:val="none"/>
          <w:bdr w:val="single" w:color="auto" w:sz="4" w:space="0"/>
          <w:lang w:eastAsia="zh-CN"/>
        </w:rPr>
        <w:t>各</w:t>
      </w:r>
      <w:r>
        <w:rPr>
          <w:rFonts w:hint="eastAsia" w:ascii="仿宋" w:hAnsi="仿宋" w:eastAsia="仿宋" w:cs="仿宋"/>
          <w:spacing w:val="6"/>
          <w:kern w:val="2"/>
          <w:sz w:val="32"/>
          <w:szCs w:val="32"/>
          <w:highlight w:val="none"/>
          <w:lang w:eastAsia="zh-CN"/>
        </w:rPr>
        <w:t>县（市）</w:t>
      </w:r>
      <w:r>
        <w:rPr>
          <w:rFonts w:hint="eastAsia" w:ascii="仿宋" w:hAnsi="仿宋" w:eastAsia="仿宋" w:cs="仿宋"/>
          <w:spacing w:val="6"/>
          <w:kern w:val="2"/>
          <w:sz w:val="32"/>
          <w:szCs w:val="32"/>
          <w:highlight w:val="none"/>
          <w:bdr w:val="single" w:color="auto" w:sz="4" w:space="0"/>
          <w:lang w:eastAsia="zh-CN"/>
        </w:rPr>
        <w:t>、</w:t>
      </w:r>
      <w:r>
        <w:rPr>
          <w:rFonts w:hint="eastAsia" w:ascii="仿宋" w:hAnsi="仿宋" w:eastAsia="仿宋" w:cs="仿宋"/>
          <w:spacing w:val="6"/>
          <w:kern w:val="2"/>
          <w:sz w:val="32"/>
          <w:szCs w:val="32"/>
          <w:highlight w:val="none"/>
          <w:lang w:eastAsia="zh-CN"/>
        </w:rPr>
        <w:t>区人民政府应当按照市人民政府规定，在资金、土地、建设、安全管理等方面配合做好</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轨道交通建设、运营的相关工作。</w:t>
      </w:r>
    </w:p>
    <w:p w14:paraId="43A90417">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第六条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轨道交通建设单位、运营单位由市人民政府依法确定。</w:t>
      </w:r>
    </w:p>
    <w:p w14:paraId="460EC0F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轨道交通建设单位、运营单位应当履行市政公用事业的社会责任，负责</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轨道交通建设、运营范围内的日常工作。</w:t>
      </w:r>
    </w:p>
    <w:p w14:paraId="3F0CCE8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轨道交通运营单位依照本条例的授权实施相关行政处罚。</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轨道交通运营单位应当设立专门机构负责行政执法，并依照《吉林省行政执法责任制规定》配备执法人员。</w:t>
      </w:r>
    </w:p>
    <w:p w14:paraId="3623385C">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第七条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轨道交通及其配套工程的建设和运营按照国家和省、市有关规定享受政策支持和资金补贴。具体补贴办法由市人民政府制定。</w:t>
      </w:r>
    </w:p>
    <w:p w14:paraId="15ABE83C">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第八条</w:t>
      </w:r>
      <w:r>
        <w:rPr>
          <w:rFonts w:hint="eastAsia" w:ascii="仿宋" w:hAnsi="仿宋" w:eastAsia="仿宋" w:cs="仿宋"/>
          <w:spacing w:val="6"/>
          <w:kern w:val="2"/>
          <w:sz w:val="32"/>
          <w:szCs w:val="32"/>
          <w:highlight w:val="none"/>
          <w:lang w:eastAsia="zh-CN"/>
        </w:rPr>
        <w:t xml:space="preserve"> 电力、通信、供水、排水、供热、供气等相关单位，应当执行国家有关优惠政策，保证</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轨道交通建设和运营需要。</w:t>
      </w:r>
    </w:p>
    <w:p w14:paraId="19C54269">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ascii="仿宋" w:hAnsi="仿宋" w:eastAsia="黑体" w:cs="仿宋"/>
          <w:spacing w:val="6"/>
          <w:kern w:val="2"/>
          <w:sz w:val="32"/>
          <w:szCs w:val="32"/>
          <w:highlight w:val="none"/>
          <w:lang w:eastAsia="zh-CN"/>
        </w:rPr>
      </w:pPr>
      <w:r>
        <w:rPr>
          <w:rFonts w:hint="eastAsia" w:ascii="仿宋" w:hAnsi="仿宋" w:eastAsia="黑体" w:cs="仿宋"/>
          <w:kern w:val="2"/>
          <w:sz w:val="32"/>
          <w:szCs w:val="32"/>
          <w:highlight w:val="none"/>
          <w:lang w:eastAsia="zh-CN"/>
        </w:rPr>
        <w:t>第二章  规划与用地</w:t>
      </w:r>
    </w:p>
    <w:p w14:paraId="74E16EBA">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第九条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轨道交通规划包括线网规划、线路规划、建设规划。</w:t>
      </w:r>
    </w:p>
    <w:p w14:paraId="0761C90A">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轨道交通规划应当</w:t>
      </w:r>
      <w:r>
        <w:rPr>
          <w:rFonts w:hint="eastAsia" w:ascii="黑体" w:hAnsi="黑体" w:eastAsia="黑体" w:cs="仿宋"/>
          <w:spacing w:val="6"/>
          <w:kern w:val="2"/>
          <w:sz w:val="32"/>
          <w:szCs w:val="32"/>
          <w:highlight w:val="none"/>
          <w:lang w:eastAsia="zh-CN"/>
        </w:rPr>
        <w:t>与国土空间规划相衔接，将涉及土地和空间使用的合理需求纳入国土空间规划实施监督系统统筹保障。</w:t>
      </w:r>
      <w:r>
        <w:rPr>
          <w:rFonts w:hint="eastAsia" w:ascii="仿宋" w:hAnsi="仿宋" w:eastAsia="仿宋" w:cs="仿宋"/>
          <w:spacing w:val="6"/>
          <w:kern w:val="2"/>
          <w:sz w:val="32"/>
          <w:szCs w:val="32"/>
          <w:highlight w:val="none"/>
          <w:bdr w:val="single" w:color="auto" w:sz="4" w:space="0"/>
          <w:lang w:eastAsia="zh-CN"/>
        </w:rPr>
        <w:t>纳入城市总体规划和土地利用总体规划，与城市道路、铁路、公路、航空等其他公共交通专项规划相衔接。</w:t>
      </w:r>
    </w:p>
    <w:p w14:paraId="4D6A34A9">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轨道交通规划应当符合城市经济社会发展需要，与城市建设、人口规模、交通需求、环境保护等相适应。</w:t>
      </w:r>
    </w:p>
    <w:p w14:paraId="113B8E75">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第十条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轨道交通线网规划由市</w:t>
      </w:r>
      <w:r>
        <w:rPr>
          <w:rFonts w:hint="eastAsia" w:ascii="黑体" w:hAnsi="黑体" w:eastAsia="黑体" w:cs="仿宋"/>
          <w:spacing w:val="6"/>
          <w:kern w:val="2"/>
          <w:sz w:val="32"/>
          <w:szCs w:val="32"/>
          <w:highlight w:val="none"/>
          <w:lang w:eastAsia="zh-CN"/>
        </w:rPr>
        <w:t>自然资源</w:t>
      </w:r>
      <w:r>
        <w:rPr>
          <w:rFonts w:hint="eastAsia" w:ascii="仿宋" w:hAnsi="仿宋" w:eastAsia="仿宋" w:cs="仿宋"/>
          <w:spacing w:val="6"/>
          <w:kern w:val="2"/>
          <w:sz w:val="32"/>
          <w:szCs w:val="32"/>
          <w:highlight w:val="none"/>
          <w:bdr w:val="single" w:color="auto" w:sz="4" w:space="0"/>
          <w:lang w:eastAsia="zh-CN"/>
        </w:rPr>
        <w:t>城乡规划</w:t>
      </w:r>
      <w:r>
        <w:rPr>
          <w:rFonts w:hint="eastAsia" w:ascii="仿宋" w:hAnsi="仿宋" w:eastAsia="仿宋" w:cs="仿宋"/>
          <w:spacing w:val="6"/>
          <w:kern w:val="2"/>
          <w:sz w:val="32"/>
          <w:szCs w:val="32"/>
          <w:highlight w:val="none"/>
          <w:lang w:eastAsia="zh-CN"/>
        </w:rPr>
        <w:t>主管部门会同相关部门组织编制，报市人民政府批准。</w:t>
      </w:r>
    </w:p>
    <w:p w14:paraId="34D4DB1F">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轨道交通线路规划、建设规划由相关部门组织编制，并按照规定报批、实施。</w:t>
      </w:r>
    </w:p>
    <w:p w14:paraId="64E70C13">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轨道交通规划不得擅自变更，确需变更的，应当按照原批准程序报批。</w:t>
      </w:r>
    </w:p>
    <w:p w14:paraId="02820C9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第十一条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轨道交通设施用地由市人民政府依法划拨。</w:t>
      </w:r>
    </w:p>
    <w:p w14:paraId="522A449D">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轨道交通设施用地与其他用地不能分割的，在出让、划拨其他用地前，市</w:t>
      </w:r>
      <w:r>
        <w:rPr>
          <w:rFonts w:hint="eastAsia" w:ascii="黑体" w:hAnsi="黑体" w:eastAsia="黑体" w:cs="仿宋"/>
          <w:spacing w:val="6"/>
          <w:kern w:val="2"/>
          <w:sz w:val="32"/>
          <w:szCs w:val="32"/>
          <w:highlight w:val="none"/>
          <w:lang w:eastAsia="zh-CN"/>
        </w:rPr>
        <w:t>自然资源</w:t>
      </w:r>
      <w:r>
        <w:rPr>
          <w:rFonts w:hint="eastAsia" w:ascii="仿宋" w:hAnsi="仿宋" w:eastAsia="仿宋" w:cs="仿宋"/>
          <w:spacing w:val="6"/>
          <w:kern w:val="2"/>
          <w:sz w:val="32"/>
          <w:szCs w:val="32"/>
          <w:highlight w:val="none"/>
          <w:bdr w:val="single" w:color="auto" w:sz="4" w:space="0"/>
          <w:lang w:eastAsia="zh-CN"/>
        </w:rPr>
        <w:t>城乡规划</w:t>
      </w:r>
      <w:r>
        <w:rPr>
          <w:rFonts w:hint="eastAsia" w:ascii="仿宋" w:hAnsi="仿宋" w:eastAsia="仿宋" w:cs="仿宋"/>
          <w:spacing w:val="6"/>
          <w:kern w:val="2"/>
          <w:sz w:val="32"/>
          <w:szCs w:val="32"/>
          <w:highlight w:val="none"/>
          <w:lang w:eastAsia="zh-CN"/>
        </w:rPr>
        <w:t>主管部门应当将</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轨道交通出入口、通风亭等附属设施以及地下结构要求落实到规划条件中，并作为国有土地使用权出让等有偿使用合同或者国有土地使用权划拨批准文件的组成部分。</w:t>
      </w:r>
    </w:p>
    <w:p w14:paraId="23415AC5">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第十二条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轨道交通设施建设用地及相邻土地使用权实行分层登记制度，分别设立地上、地表、地下建设用地使用权。</w:t>
      </w:r>
    </w:p>
    <w:p w14:paraId="1D4405C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地下建设用地使用权根据不动产登记簿确定。未经有关部门批准，建设用地使用权人不得扩大地下空间使用范围。</w:t>
      </w:r>
    </w:p>
    <w:p w14:paraId="0584F66A">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第十三条</w:t>
      </w:r>
      <w:r>
        <w:rPr>
          <w:rFonts w:hint="eastAsia" w:ascii="仿宋" w:hAnsi="仿宋" w:eastAsia="仿宋" w:cs="仿宋"/>
          <w:spacing w:val="6"/>
          <w:kern w:val="2"/>
          <w:sz w:val="32"/>
          <w:szCs w:val="32"/>
          <w:highlight w:val="none"/>
          <w:lang w:eastAsia="zh-CN"/>
        </w:rPr>
        <w:t xml:space="preserve"> 市</w:t>
      </w:r>
      <w:r>
        <w:rPr>
          <w:rFonts w:hint="eastAsia" w:ascii="黑体" w:hAnsi="黑体" w:eastAsia="黑体" w:cs="仿宋"/>
          <w:spacing w:val="6"/>
          <w:kern w:val="2"/>
          <w:sz w:val="32"/>
          <w:szCs w:val="32"/>
          <w:highlight w:val="none"/>
          <w:lang w:eastAsia="zh-CN"/>
        </w:rPr>
        <w:t>自然资源</w:t>
      </w:r>
      <w:r>
        <w:rPr>
          <w:rFonts w:hint="eastAsia" w:ascii="仿宋" w:hAnsi="仿宋" w:eastAsia="仿宋" w:cs="仿宋"/>
          <w:spacing w:val="6"/>
          <w:kern w:val="2"/>
          <w:sz w:val="32"/>
          <w:szCs w:val="32"/>
          <w:highlight w:val="none"/>
          <w:bdr w:val="single" w:color="auto" w:sz="4" w:space="0"/>
          <w:lang w:eastAsia="zh-CN"/>
        </w:rPr>
        <w:t>城乡规划、国土资源</w:t>
      </w:r>
      <w:r>
        <w:rPr>
          <w:rFonts w:hint="eastAsia" w:ascii="仿宋" w:hAnsi="仿宋" w:eastAsia="仿宋" w:cs="仿宋"/>
          <w:spacing w:val="6"/>
          <w:kern w:val="2"/>
          <w:sz w:val="32"/>
          <w:szCs w:val="32"/>
          <w:highlight w:val="none"/>
          <w:lang w:eastAsia="zh-CN"/>
        </w:rPr>
        <w:t>主管部门应当按照</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轨道交通规划做好轨道交通设施用地的控制管理，并优先安排相关用地。</w:t>
      </w:r>
    </w:p>
    <w:p w14:paraId="58EDEFC9">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轨道交通规划用地，未经法定程序，不得改变其用途。</w:t>
      </w:r>
    </w:p>
    <w:p w14:paraId="2213C6C5">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第十四条</w:t>
      </w:r>
      <w:r>
        <w:rPr>
          <w:rFonts w:hint="eastAsia" w:ascii="仿宋" w:hAnsi="仿宋" w:eastAsia="仿宋" w:cs="仿宋"/>
          <w:spacing w:val="6"/>
          <w:kern w:val="2"/>
          <w:sz w:val="32"/>
          <w:szCs w:val="32"/>
          <w:highlight w:val="none"/>
          <w:lang w:eastAsia="zh-CN"/>
        </w:rPr>
        <w:t xml:space="preserve"> 经市人民政府批准，在</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轨道交通用地范围及空间内，</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轨道交通建设单位、运营单位依照相关规定可以从事与</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轨道交通有关的房地产、广告、物业管理等综合开发活动。</w:t>
      </w:r>
    </w:p>
    <w:p w14:paraId="6BBD428A">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综合开发应当优先建设</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轨道交通运营配套设施，统筹安排公共交通枢纽、交通换乘设施、公共步行空间等公共配套设施。</w:t>
      </w:r>
    </w:p>
    <w:p w14:paraId="56AE9334">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综合开发所获得的收益，应当纳入市国有资本经营预算管理，用于</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轨道交通发展，并接受市财政审计部门监督。</w:t>
      </w:r>
    </w:p>
    <w:p w14:paraId="2685800F">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ascii="仿宋" w:hAnsi="仿宋" w:eastAsia="黑体" w:cs="仿宋"/>
          <w:kern w:val="2"/>
          <w:sz w:val="32"/>
          <w:szCs w:val="32"/>
          <w:highlight w:val="none"/>
          <w:lang w:eastAsia="zh-CN"/>
        </w:rPr>
      </w:pPr>
      <w:r>
        <w:rPr>
          <w:rFonts w:hint="eastAsia" w:ascii="仿宋" w:hAnsi="仿宋" w:eastAsia="黑体" w:cs="仿宋"/>
          <w:kern w:val="2"/>
          <w:sz w:val="32"/>
          <w:szCs w:val="32"/>
          <w:highlight w:val="none"/>
          <w:lang w:eastAsia="zh-CN"/>
        </w:rPr>
        <w:t>第三章  建  设</w:t>
      </w:r>
    </w:p>
    <w:p w14:paraId="276E02E1">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第十五条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轨道交通建设单位负责组织实施</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轨道交通工程建设，承担工程质量、安全生产和文明施工的相应责任。</w:t>
      </w:r>
    </w:p>
    <w:p w14:paraId="42713A6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负责</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轨道交通勘察、设计、施工、监理、施工图审查、监测、质量检测等工作的单位应当依法承担质量、安全等相应责任。</w:t>
      </w:r>
    </w:p>
    <w:p w14:paraId="22DAE707">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第十六条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轨道交通建设应当遵守国家基本建设项目管理规定，执行基本建设程序，符合国家和省、市技术规范和标准，确保工程质量和安全生产。</w:t>
      </w:r>
    </w:p>
    <w:p w14:paraId="3D033D35">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第十七条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轨道交通建设单位应当保证</w:t>
      </w:r>
      <w:r>
        <w:rPr>
          <w:rFonts w:hint="eastAsia" w:ascii="黑体" w:hAnsi="黑体" w:eastAsia="黑体" w:cs="仿宋"/>
          <w:spacing w:val="6"/>
          <w:kern w:val="2"/>
          <w:sz w:val="32"/>
          <w:szCs w:val="32"/>
          <w:highlight w:val="none"/>
          <w:lang w:eastAsia="zh-CN"/>
        </w:rPr>
        <w:t>无障碍设施、涉及公共安全的</w:t>
      </w:r>
      <w:r>
        <w:rPr>
          <w:rFonts w:hint="eastAsia" w:ascii="仿宋" w:hAnsi="仿宋" w:eastAsia="仿宋" w:cs="仿宋"/>
          <w:spacing w:val="6"/>
          <w:kern w:val="2"/>
          <w:sz w:val="32"/>
          <w:szCs w:val="32"/>
          <w:highlight w:val="none"/>
          <w:bdr w:val="single" w:color="auto" w:sz="4" w:space="0"/>
          <w:lang w:eastAsia="zh-CN"/>
        </w:rPr>
        <w:t>轨道交通安全设施设备及消防设施、无障碍设施等</w:t>
      </w:r>
      <w:r>
        <w:rPr>
          <w:rFonts w:hint="eastAsia" w:ascii="仿宋" w:hAnsi="仿宋" w:eastAsia="仿宋" w:cs="仿宋"/>
          <w:spacing w:val="6"/>
          <w:kern w:val="2"/>
          <w:sz w:val="32"/>
          <w:szCs w:val="32"/>
          <w:highlight w:val="none"/>
          <w:lang w:eastAsia="zh-CN"/>
        </w:rPr>
        <w:t>与</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轨道交通主体工程</w:t>
      </w:r>
      <w:r>
        <w:rPr>
          <w:rFonts w:hint="eastAsia" w:ascii="黑体" w:hAnsi="黑体" w:eastAsia="黑体" w:cs="仿宋"/>
          <w:spacing w:val="6"/>
          <w:kern w:val="2"/>
          <w:sz w:val="32"/>
          <w:szCs w:val="32"/>
          <w:highlight w:val="none"/>
          <w:lang w:eastAsia="zh-CN"/>
        </w:rPr>
        <w:t>同步规划、</w:t>
      </w:r>
      <w:r>
        <w:rPr>
          <w:rFonts w:hint="eastAsia" w:ascii="仿宋" w:hAnsi="仿宋" w:eastAsia="仿宋" w:cs="仿宋"/>
          <w:spacing w:val="6"/>
          <w:kern w:val="2"/>
          <w:sz w:val="32"/>
          <w:szCs w:val="32"/>
          <w:highlight w:val="none"/>
          <w:lang w:eastAsia="zh-CN"/>
        </w:rPr>
        <w:t>同步</w:t>
      </w:r>
      <w:r>
        <w:rPr>
          <w:rFonts w:hint="eastAsia" w:ascii="黑体" w:hAnsi="黑体" w:eastAsia="黑体" w:cs="仿宋"/>
          <w:spacing w:val="6"/>
          <w:kern w:val="2"/>
          <w:sz w:val="32"/>
          <w:szCs w:val="32"/>
          <w:highlight w:val="none"/>
          <w:lang w:eastAsia="zh-CN"/>
        </w:rPr>
        <w:t>建设</w:t>
      </w:r>
      <w:r>
        <w:rPr>
          <w:rFonts w:hint="eastAsia" w:ascii="仿宋" w:hAnsi="仿宋" w:eastAsia="仿宋" w:cs="仿宋"/>
          <w:spacing w:val="6"/>
          <w:kern w:val="2"/>
          <w:sz w:val="32"/>
          <w:szCs w:val="32"/>
          <w:highlight w:val="none"/>
          <w:bdr w:val="single" w:color="auto" w:sz="4" w:space="0"/>
          <w:lang w:eastAsia="zh-CN"/>
        </w:rPr>
        <w:t>设计、同步施工、同步验收</w:t>
      </w:r>
      <w:r>
        <w:rPr>
          <w:rFonts w:hint="eastAsia" w:ascii="仿宋" w:hAnsi="仿宋" w:eastAsia="仿宋" w:cs="仿宋"/>
          <w:spacing w:val="6"/>
          <w:kern w:val="2"/>
          <w:sz w:val="32"/>
          <w:szCs w:val="32"/>
          <w:highlight w:val="none"/>
          <w:lang w:eastAsia="zh-CN"/>
        </w:rPr>
        <w:t>、同步投入使用。</w:t>
      </w:r>
    </w:p>
    <w:p w14:paraId="397B4E98">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第十八条</w:t>
      </w:r>
      <w:r>
        <w:rPr>
          <w:rFonts w:hint="eastAsia" w:ascii="仿宋" w:hAnsi="仿宋" w:eastAsia="仿宋" w:cs="仿宋"/>
          <w:spacing w:val="6"/>
          <w:kern w:val="2"/>
          <w:sz w:val="32"/>
          <w:szCs w:val="32"/>
          <w:highlight w:val="none"/>
          <w:lang w:eastAsia="zh-CN"/>
        </w:rPr>
        <w:t xml:space="preserve"> 在</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轨道交通建设过程中，</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轨道交通工程施工单位应当在</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轨道交通沿线设立工程监测控制点进行监测，相关单位和个人应当予以配合。</w:t>
      </w:r>
    </w:p>
    <w:p w14:paraId="4A82F84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任何单位和个人不得毁损或者擅自移动</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轨道交通沿线工程监测设施。</w:t>
      </w:r>
    </w:p>
    <w:p w14:paraId="621480D9">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第十九条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轨道交通建设需要临时占用地下、地表、地上空间的，有关单位和个人应当提供必要的便利。</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轨道交通建设对有关单位和个人造成损失的，</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轨道交通建设单位应当依法承担赔偿责任。</w:t>
      </w:r>
    </w:p>
    <w:p w14:paraId="479FE065">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轨道交通建设需要使用供电、供水、排水、供热、供气、通信管线和人防工程及其他建（构）筑物等工程档案资料的，相关主管部门、产权单位应当提供。</w:t>
      </w:r>
    </w:p>
    <w:p w14:paraId="5063A69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第二十条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轨道交通建设需要迁改相应设施的，设施产权单位应当按照轨道交通工程建设要求配合迁改。迁改费用经市财政部门审核后，由</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轨道交通建设单位承担。</w:t>
      </w:r>
    </w:p>
    <w:p w14:paraId="19FB7B76">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迁改中因设施产权单位要求提高现行标准或者增加相关设施容量、数量的，所需的相关费用由设施产权单位承担。</w:t>
      </w:r>
    </w:p>
    <w:p w14:paraId="6B5C4F26">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第二十一条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轨道交通建设影响道路通行的，</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轨道交通建设单位应当向公安机关交通管理部门报告，公安机关交通管理部门应当组织制定交通疏解方案。</w:t>
      </w:r>
    </w:p>
    <w:p w14:paraId="665CD07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第二十二条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轨道交通建设工程竣工后，应当按照国家有关规定组织试运行、试运营。</w:t>
      </w:r>
    </w:p>
    <w:p w14:paraId="11B58853">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竣工验收合格后，</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轨道交通建设工程方可投入正式运营。</w:t>
      </w:r>
    </w:p>
    <w:p w14:paraId="1FE6F3CB">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ascii="仿宋" w:hAnsi="仿宋" w:eastAsia="黑体" w:cs="仿宋"/>
          <w:kern w:val="2"/>
          <w:sz w:val="32"/>
          <w:szCs w:val="32"/>
          <w:highlight w:val="none"/>
          <w:lang w:eastAsia="zh-CN"/>
        </w:rPr>
      </w:pPr>
      <w:r>
        <w:rPr>
          <w:rFonts w:hint="eastAsia" w:ascii="仿宋" w:hAnsi="仿宋" w:eastAsia="黑体" w:cs="仿宋"/>
          <w:kern w:val="2"/>
          <w:sz w:val="32"/>
          <w:szCs w:val="32"/>
          <w:highlight w:val="none"/>
          <w:lang w:eastAsia="zh-CN"/>
        </w:rPr>
        <w:t>第四章  运  营</w:t>
      </w:r>
    </w:p>
    <w:p w14:paraId="6F28C3D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第二十三条</w:t>
      </w:r>
      <w:r>
        <w:rPr>
          <w:rFonts w:hint="eastAsia" w:ascii="仿宋" w:hAnsi="仿宋" w:eastAsia="仿宋" w:cs="仿宋"/>
          <w:spacing w:val="6"/>
          <w:kern w:val="2"/>
          <w:sz w:val="32"/>
          <w:szCs w:val="32"/>
          <w:highlight w:val="none"/>
          <w:lang w:eastAsia="zh-CN"/>
        </w:rPr>
        <w:t xml:space="preserve"> 市交通运输主管部门应当制定并公布</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轨道交通运营服务规范和</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轨道交通乘客守则，合理规划</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轨道交通沿线公交线路资源，监督和管理</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轨道交通运营活动。</w:t>
      </w:r>
    </w:p>
    <w:p w14:paraId="2BEE5781">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第二十四条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轨道交通运营单位应当按照</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轨道交通运营服务规范的要求，安全、正点运送乘客。</w:t>
      </w:r>
    </w:p>
    <w:p w14:paraId="719FB25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轨道交通运营单位应当在车站醒目位置公布首末班车行车时刻、列车运行状况提示和换乘指示。列车因故延误或者调整首末班车行车时间的，应当及时公告。</w:t>
      </w:r>
    </w:p>
    <w:p w14:paraId="66F5BF4E">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第二十五条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轨道交通运营单位应当履行下列安全运营职责：</w:t>
      </w:r>
    </w:p>
    <w:p w14:paraId="7CB8F63D">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（一）制定安全运营管理制度和操作规程；</w:t>
      </w:r>
    </w:p>
    <w:p w14:paraId="5ECB795F">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（二）制定运营安全应急处置方案；</w:t>
      </w:r>
    </w:p>
    <w:p w14:paraId="3EFC0B0D">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（三）设立安全运营管理机构，配备专职安全运营管理人员；</w:t>
      </w:r>
    </w:p>
    <w:p w14:paraId="6640CDE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（四）保障安全运营所需资金的投入；</w:t>
      </w:r>
    </w:p>
    <w:p w14:paraId="5F2740F9">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（五）对</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轨道交通设施定期进行维护、保养和检查，保证设施正常运转；</w:t>
      </w:r>
    </w:p>
    <w:p w14:paraId="7FF4838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（六）开展安全运营的日常检查和安全性评价，及时消除安全隐患；</w:t>
      </w:r>
    </w:p>
    <w:p w14:paraId="62676BB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（七）及时处置、如实报告安全运营事故；</w:t>
      </w:r>
    </w:p>
    <w:p w14:paraId="349B83C6">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（八）法律、法规规定的其他安全运营职责。</w:t>
      </w:r>
    </w:p>
    <w:p w14:paraId="61C5A00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第二十六条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轨道交通运营单位应当根据国家有关标准和要求，统一设置安全、消防、疏散等各类导向标识。</w:t>
      </w:r>
    </w:p>
    <w:p w14:paraId="75984763">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轨道交通运营单位在设置导向标识时，有关单位和个人应当予以配合。</w:t>
      </w:r>
    </w:p>
    <w:p w14:paraId="366D8D9E">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第二十七条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轨道交通运营单位应当按照国家和省、市有关</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轨道交通设施的安全标准和技术规范，设置安全器材和设备，定期检查、维护，按期更新，并保持完好。</w:t>
      </w:r>
    </w:p>
    <w:p w14:paraId="23DEAB4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轨道交通运营单位应当定期对轨道交通进行安全性评价，制定安全运营对策。</w:t>
      </w:r>
    </w:p>
    <w:p w14:paraId="26BC3C2F">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第二十八条</w:t>
      </w:r>
      <w:r>
        <w:rPr>
          <w:rFonts w:hint="eastAsia" w:ascii="仿宋" w:hAnsi="仿宋" w:eastAsia="仿宋" w:cs="仿宋"/>
          <w:spacing w:val="6"/>
          <w:kern w:val="2"/>
          <w:sz w:val="32"/>
          <w:szCs w:val="32"/>
          <w:highlight w:val="none"/>
          <w:lang w:eastAsia="zh-CN"/>
        </w:rPr>
        <w:t xml:space="preserve"> 未经市交通运输主管部门批准，</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轨道交通运营单位不得擅自暂停线路运行。</w:t>
      </w:r>
    </w:p>
    <w:p w14:paraId="1E5D8BAD">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轨道交通运行过程中发生故障、突发事件危及安全运行的，</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轨道交通运营单位可以暂停线路运行，向市交通运输主管部门报告，并向社会公布。</w:t>
      </w:r>
    </w:p>
    <w:p w14:paraId="31007956">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第二十九条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轨道交通运营单位应当执行价格主管部门依法确定的票价，不得擅自上调票价、变相涨价。</w:t>
      </w:r>
    </w:p>
    <w:p w14:paraId="692452E9">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第三十条</w:t>
      </w:r>
      <w:r>
        <w:rPr>
          <w:rFonts w:hint="eastAsia" w:ascii="仿宋" w:hAnsi="仿宋" w:eastAsia="仿宋" w:cs="仿宋"/>
          <w:spacing w:val="6"/>
          <w:kern w:val="2"/>
          <w:sz w:val="32"/>
          <w:szCs w:val="32"/>
          <w:highlight w:val="none"/>
          <w:lang w:eastAsia="zh-CN"/>
        </w:rPr>
        <w:t xml:space="preserve"> 乘客应当使用有效车票乘车；乘客超出票价里程乘车的，应当补交票款。</w:t>
      </w:r>
    </w:p>
    <w:p w14:paraId="318DAAA8">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乘客不得无票或者使用无效车票乘车；不得持伪造、变造的优惠乘车证件或者冒用他人优惠乘车证件购票乘车。</w:t>
      </w:r>
    </w:p>
    <w:p w14:paraId="22D8CC18">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任何单位和个人不得倒卖轨道交通车票。</w:t>
      </w:r>
    </w:p>
    <w:p w14:paraId="5C8632B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第三十一条</w:t>
      </w:r>
      <w:r>
        <w:rPr>
          <w:rFonts w:hint="eastAsia" w:ascii="仿宋" w:hAnsi="仿宋" w:eastAsia="仿宋" w:cs="仿宋"/>
          <w:spacing w:val="6"/>
          <w:kern w:val="2"/>
          <w:sz w:val="32"/>
          <w:szCs w:val="32"/>
          <w:highlight w:val="none"/>
          <w:lang w:eastAsia="zh-CN"/>
        </w:rPr>
        <w:t xml:space="preserve"> 禁止携带易燃、易爆、有毒、放射性及危害他人安全和健康的危险物品进站、乘车。</w:t>
      </w:r>
    </w:p>
    <w:p w14:paraId="2353CC61">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w:t>
      </w:r>
      <w:r>
        <w:rPr>
          <w:rFonts w:hint="eastAsia" w:ascii="黑体" w:hAnsi="黑体" w:eastAsia="黑体" w:cs="仿宋"/>
          <w:spacing w:val="6"/>
          <w:kern w:val="2"/>
          <w:sz w:val="32"/>
          <w:szCs w:val="32"/>
          <w:highlight w:val="none"/>
          <w:lang w:eastAsia="zh-CN"/>
        </w:rPr>
        <w:t>应当</w:t>
      </w:r>
      <w:r>
        <w:rPr>
          <w:rFonts w:hint="eastAsia" w:ascii="仿宋" w:hAnsi="仿宋" w:eastAsia="仿宋" w:cs="仿宋"/>
          <w:spacing w:val="6"/>
          <w:kern w:val="2"/>
          <w:sz w:val="32"/>
          <w:szCs w:val="32"/>
          <w:highlight w:val="none"/>
          <w:bdr w:val="single" w:color="auto" w:sz="4" w:space="0"/>
          <w:lang w:eastAsia="zh-CN"/>
        </w:rPr>
        <w:t>可以</w:t>
      </w:r>
      <w:r>
        <w:rPr>
          <w:rFonts w:hint="eastAsia" w:ascii="仿宋" w:hAnsi="仿宋" w:eastAsia="仿宋" w:cs="仿宋"/>
          <w:spacing w:val="6"/>
          <w:kern w:val="2"/>
          <w:sz w:val="32"/>
          <w:szCs w:val="32"/>
          <w:highlight w:val="none"/>
          <w:lang w:eastAsia="zh-CN"/>
        </w:rPr>
        <w:t>对乘客携带的物品进行安全检查，</w:t>
      </w:r>
      <w:r>
        <w:rPr>
          <w:rFonts w:hint="eastAsia" w:ascii="黑体" w:hAnsi="黑体" w:eastAsia="黑体" w:cs="仿宋"/>
          <w:spacing w:val="6"/>
          <w:kern w:val="2"/>
          <w:sz w:val="32"/>
          <w:szCs w:val="32"/>
          <w:highlight w:val="none"/>
          <w:lang w:eastAsia="zh-CN"/>
        </w:rPr>
        <w:t>对拒不接受安全检查的，应当拒绝其进站乘车；</w:t>
      </w:r>
      <w:r>
        <w:rPr>
          <w:rFonts w:hint="eastAsia" w:ascii="仿宋" w:hAnsi="仿宋" w:eastAsia="仿宋" w:cs="仿宋"/>
          <w:spacing w:val="6"/>
          <w:kern w:val="2"/>
          <w:sz w:val="32"/>
          <w:szCs w:val="32"/>
          <w:highlight w:val="none"/>
          <w:lang w:eastAsia="zh-CN"/>
        </w:rPr>
        <w:t>对携带危险品的乘客，应当责令出站；拒不出站的，移送公安机关依法处理。</w:t>
      </w:r>
    </w:p>
    <w:p w14:paraId="25736A4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第三十二条</w:t>
      </w:r>
      <w:r>
        <w:rPr>
          <w:rFonts w:hint="eastAsia" w:ascii="仿宋" w:hAnsi="仿宋" w:eastAsia="仿宋" w:cs="仿宋"/>
          <w:spacing w:val="6"/>
          <w:kern w:val="2"/>
          <w:sz w:val="32"/>
          <w:szCs w:val="32"/>
          <w:highlight w:val="none"/>
          <w:lang w:eastAsia="zh-CN"/>
        </w:rPr>
        <w:t xml:space="preserve"> 禁止下列损害</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轨道交通设施和影响运营安全的行为：</w:t>
      </w:r>
    </w:p>
    <w:p w14:paraId="57C18647">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（一）擅自操作有警示标识的按钮、开关装置，非紧急情况下动用应急或者安全装置；</w:t>
      </w:r>
    </w:p>
    <w:p w14:paraId="36493320">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（二）损坏列车、隧道、轨道、路基、桥梁、车站等设施设备；</w:t>
      </w:r>
    </w:p>
    <w:p w14:paraId="313B2A98">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（三）损坏和干扰机电设备、电缆、通信信号系统、供电系统、防护监视系统；</w:t>
      </w:r>
    </w:p>
    <w:p w14:paraId="45DDC623">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（四）毁损、遮盖或者移动安全、消防警示标识和疏散导向、站牌等标识以及防护监视设备；</w:t>
      </w:r>
    </w:p>
    <w:p w14:paraId="6806FA0A">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（五）非法拦截列车或者在轨道上丢弃物品、放置障碍物；</w:t>
      </w:r>
    </w:p>
    <w:p w14:paraId="6EB33CDA">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（六）擅自进入轨道、隧道或者其他有禁止进入标识的区域；</w:t>
      </w:r>
    </w:p>
    <w:p w14:paraId="6D32749F">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（七）攀爬或者翻越围墙、栏杆、闸机、机车等；</w:t>
      </w:r>
    </w:p>
    <w:p w14:paraId="43B0FAA9">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（八）阻碍安全门、屏蔽门、列车门关闭，强行上下车；</w:t>
      </w:r>
    </w:p>
    <w:p w14:paraId="778D0BD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（九）在通风亭、冷却塔外侧十米内堆放物品，或者在通风口、车站出入口五十米范围内存放易燃、易爆、有毒、放射性及危害他人安全和健康的危险物品；</w:t>
      </w:r>
    </w:p>
    <w:p w14:paraId="790B5CBD">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（十）在</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轨道交通地面线路和高架线路弯道两侧修建妨碍行车瞭望的建（构）筑物，或者种植妨碍行车瞭望的树木；</w:t>
      </w:r>
    </w:p>
    <w:p w14:paraId="43F1BCC4">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（十一）其他损害轨道交通设施和影响运营安全的行为。</w:t>
      </w:r>
    </w:p>
    <w:p w14:paraId="73263A7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第三十三条</w:t>
      </w:r>
      <w:r>
        <w:rPr>
          <w:rFonts w:hint="eastAsia" w:ascii="仿宋" w:hAnsi="仿宋" w:eastAsia="仿宋" w:cs="仿宋"/>
          <w:spacing w:val="6"/>
          <w:kern w:val="2"/>
          <w:sz w:val="32"/>
          <w:szCs w:val="32"/>
          <w:highlight w:val="none"/>
          <w:lang w:eastAsia="zh-CN"/>
        </w:rPr>
        <w:t xml:space="preserve"> 在车站和列车内，禁止下列行为：</w:t>
      </w:r>
    </w:p>
    <w:p w14:paraId="1C9D0E11">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（一）未经</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轨道交通运营单位同意，派发印刷品或者从事销售活动；</w:t>
      </w:r>
    </w:p>
    <w:p w14:paraId="5031765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（二）随意涂写、刻画、张贴或者悬挂物品；</w:t>
      </w:r>
    </w:p>
    <w:p w14:paraId="149500F5">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（三）堆放杂物或者停放车辆；</w:t>
      </w:r>
    </w:p>
    <w:p w14:paraId="33527053">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（四）乞讨、卖艺，躺卧、踩踏车站及列车内的座椅；</w:t>
      </w:r>
    </w:p>
    <w:p w14:paraId="7CABF844">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（五）在车站或者列车内吸烟、随地吐痰、便溺、吐口香糖，乱扔果皮（核）、纸屑等废弃物；</w:t>
      </w:r>
    </w:p>
    <w:p w14:paraId="6C6039E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（六）携带重量、体积超过乘客守则规定的物品进站、乘车；</w:t>
      </w:r>
    </w:p>
    <w:p w14:paraId="429AD7E5">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（七）携带易污损、有严重异味、无包装易碎的物品进站、乘车；</w:t>
      </w:r>
    </w:p>
    <w:p w14:paraId="495938D8">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（八）携带宠物（盲人携带导盲犬除外）、活禽以及其他可能妨碍轨道交通运营的动物进站、乘车；</w:t>
      </w:r>
    </w:p>
    <w:p w14:paraId="7EE68956">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（九）使用滑轮鞋、滑板等进站、乘车。</w:t>
      </w:r>
    </w:p>
    <w:p w14:paraId="6523E387">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第三十四条</w:t>
      </w:r>
      <w:r>
        <w:rPr>
          <w:rFonts w:hint="eastAsia" w:ascii="仿宋" w:hAnsi="仿宋" w:eastAsia="仿宋" w:cs="仿宋"/>
          <w:spacing w:val="6"/>
          <w:kern w:val="2"/>
          <w:sz w:val="32"/>
          <w:szCs w:val="32"/>
          <w:highlight w:val="none"/>
          <w:lang w:eastAsia="zh-CN"/>
        </w:rPr>
        <w:t xml:space="preserve"> 在不封闭平交道口处，实行</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轨道交通信号优先。车辆和行人应当按照</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轨道交通信号指示通行，服从平交道口管理人员指挥；在无信号情况下，非</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轨道交通车辆和行人应当避让</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轨道交通列车。</w:t>
      </w:r>
    </w:p>
    <w:p w14:paraId="0462E784">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第三十五条</w:t>
      </w:r>
      <w:r>
        <w:rPr>
          <w:rFonts w:hint="eastAsia" w:ascii="仿宋" w:hAnsi="仿宋" w:eastAsia="仿宋" w:cs="仿宋"/>
          <w:spacing w:val="6"/>
          <w:kern w:val="2"/>
          <w:sz w:val="32"/>
          <w:szCs w:val="32"/>
          <w:highlight w:val="none"/>
          <w:lang w:eastAsia="zh-CN"/>
        </w:rPr>
        <w:t xml:space="preserve"> 在</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轨道交通车站或者车厢内拍摄影视剧、广告、宣传片等，应当征得</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轨道交通运营单位同意，并遵守相关法律、法规的规定。</w:t>
      </w:r>
    </w:p>
    <w:p w14:paraId="21818F6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第三十六条</w:t>
      </w:r>
      <w:r>
        <w:rPr>
          <w:rFonts w:hint="eastAsia" w:ascii="仿宋" w:hAnsi="仿宋" w:eastAsia="仿宋" w:cs="仿宋"/>
          <w:spacing w:val="6"/>
          <w:kern w:val="2"/>
          <w:sz w:val="32"/>
          <w:szCs w:val="32"/>
          <w:highlight w:val="none"/>
          <w:lang w:eastAsia="zh-CN"/>
        </w:rPr>
        <w:t xml:space="preserve"> 市交通运输主管部门和</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轨道交通运营单位应当接受乘客对违反运营规定和服务规则行为的投诉，自受理投诉之日起十个工作日内做出答复。</w:t>
      </w:r>
    </w:p>
    <w:p w14:paraId="63BD22F9">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ascii="仿宋" w:hAnsi="仿宋" w:eastAsia="黑体" w:cs="仿宋"/>
          <w:kern w:val="2"/>
          <w:sz w:val="32"/>
          <w:szCs w:val="32"/>
          <w:highlight w:val="none"/>
          <w:lang w:eastAsia="zh-CN"/>
        </w:rPr>
      </w:pPr>
      <w:r>
        <w:rPr>
          <w:rFonts w:hint="eastAsia" w:ascii="仿宋" w:hAnsi="仿宋" w:eastAsia="黑体" w:cs="仿宋"/>
          <w:kern w:val="2"/>
          <w:sz w:val="32"/>
          <w:szCs w:val="32"/>
          <w:highlight w:val="none"/>
          <w:lang w:eastAsia="zh-CN"/>
        </w:rPr>
        <w:t>第五章  安全保护区</w:t>
      </w:r>
    </w:p>
    <w:p w14:paraId="08383DBE">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第三十七条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轨道交通应当在下列范围内设置安全保护区：</w:t>
      </w:r>
    </w:p>
    <w:p w14:paraId="70A56096">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（一）地下车站与隧道结构外边线外侧五十米内；</w:t>
      </w:r>
    </w:p>
    <w:p w14:paraId="13774E09">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（二）地面车站和高架车站以及线路轨道结构外边线外侧三十米内；</w:t>
      </w:r>
    </w:p>
    <w:p w14:paraId="62F96657">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（三）出入口、通风亭、冷却塔、变电站等建（构）筑物外边线和车辆基地用地范围外侧十米内；</w:t>
      </w:r>
    </w:p>
    <w:p w14:paraId="14D804D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（四）</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轨道交通过河隧道结构外边线外侧一百米内。</w:t>
      </w:r>
    </w:p>
    <w:p w14:paraId="3E3EF297">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因地质条件或者其他特殊情况，</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轨道交通建设单位、运营单位需要调整安全保护区范围的，应当经市</w:t>
      </w:r>
      <w:r>
        <w:rPr>
          <w:rFonts w:hint="eastAsia" w:ascii="黑体" w:hAnsi="黑体" w:eastAsia="黑体" w:cs="仿宋"/>
          <w:spacing w:val="6"/>
          <w:kern w:val="2"/>
          <w:sz w:val="32"/>
          <w:szCs w:val="32"/>
          <w:highlight w:val="none"/>
          <w:lang w:eastAsia="zh-CN"/>
        </w:rPr>
        <w:t>自然资源</w:t>
      </w:r>
      <w:r>
        <w:rPr>
          <w:rFonts w:hint="eastAsia" w:ascii="仿宋" w:hAnsi="仿宋" w:eastAsia="仿宋" w:cs="仿宋"/>
          <w:spacing w:val="6"/>
          <w:kern w:val="2"/>
          <w:sz w:val="32"/>
          <w:szCs w:val="32"/>
          <w:highlight w:val="none"/>
          <w:bdr w:val="single" w:color="auto" w:sz="4" w:space="0"/>
          <w:lang w:eastAsia="zh-CN"/>
        </w:rPr>
        <w:t>城乡规划</w:t>
      </w:r>
      <w:r>
        <w:rPr>
          <w:rFonts w:hint="eastAsia" w:ascii="仿宋" w:hAnsi="仿宋" w:eastAsia="仿宋" w:cs="仿宋"/>
          <w:spacing w:val="6"/>
          <w:kern w:val="2"/>
          <w:sz w:val="32"/>
          <w:szCs w:val="32"/>
          <w:highlight w:val="none"/>
          <w:lang w:eastAsia="zh-CN"/>
        </w:rPr>
        <w:t>主管部门审定。</w:t>
      </w:r>
    </w:p>
    <w:p w14:paraId="544DFF13">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第三十八条</w:t>
      </w:r>
      <w:r>
        <w:rPr>
          <w:rFonts w:hint="eastAsia" w:ascii="仿宋" w:hAnsi="仿宋" w:eastAsia="仿宋" w:cs="仿宋"/>
          <w:spacing w:val="6"/>
          <w:kern w:val="2"/>
          <w:sz w:val="32"/>
          <w:szCs w:val="32"/>
          <w:highlight w:val="none"/>
          <w:lang w:eastAsia="zh-CN"/>
        </w:rPr>
        <w:t xml:space="preserve"> 市</w:t>
      </w:r>
      <w:r>
        <w:rPr>
          <w:rFonts w:hint="eastAsia" w:ascii="黑体" w:hAnsi="黑体" w:eastAsia="黑体" w:cs="仿宋"/>
          <w:spacing w:val="6"/>
          <w:kern w:val="2"/>
          <w:sz w:val="32"/>
          <w:szCs w:val="32"/>
          <w:highlight w:val="none"/>
          <w:lang w:eastAsia="zh-CN"/>
        </w:rPr>
        <w:t>自然资源</w:t>
      </w:r>
      <w:r>
        <w:rPr>
          <w:rFonts w:hint="eastAsia" w:ascii="仿宋" w:hAnsi="仿宋" w:eastAsia="仿宋" w:cs="仿宋"/>
          <w:spacing w:val="6"/>
          <w:kern w:val="2"/>
          <w:sz w:val="32"/>
          <w:szCs w:val="32"/>
          <w:highlight w:val="none"/>
          <w:bdr w:val="single" w:color="auto" w:sz="4" w:space="0"/>
          <w:lang w:eastAsia="zh-CN"/>
        </w:rPr>
        <w:t>城乡规划</w:t>
      </w:r>
      <w:r>
        <w:rPr>
          <w:rFonts w:hint="eastAsia" w:ascii="仿宋" w:hAnsi="仿宋" w:eastAsia="仿宋" w:cs="仿宋"/>
          <w:spacing w:val="6"/>
          <w:kern w:val="2"/>
          <w:sz w:val="32"/>
          <w:szCs w:val="32"/>
          <w:highlight w:val="none"/>
          <w:lang w:eastAsia="zh-CN"/>
        </w:rPr>
        <w:t>主管部门在审批安全保护区内建设项目时，应当充分考虑轨道交通设施安全保护的需要，并征求市轨道交通建设、交通运输主管部门的意见。</w:t>
      </w:r>
    </w:p>
    <w:p w14:paraId="6D88CF71">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第三十九条</w:t>
      </w:r>
      <w:r>
        <w:rPr>
          <w:rFonts w:hint="eastAsia" w:ascii="仿宋" w:hAnsi="仿宋" w:eastAsia="仿宋" w:cs="仿宋"/>
          <w:spacing w:val="6"/>
          <w:kern w:val="2"/>
          <w:sz w:val="32"/>
          <w:szCs w:val="32"/>
          <w:highlight w:val="none"/>
          <w:lang w:eastAsia="zh-CN"/>
        </w:rPr>
        <w:t xml:space="preserve"> 在</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轨道交通安全保护区内进行下列作业的，作业单位应当制定安全防护方案，在征得运营单位同意后，依法办理有关审批手续：</w:t>
      </w:r>
    </w:p>
    <w:p w14:paraId="348B1F08">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（一）新建、扩建、改建或者拆除建（构）筑物的；</w:t>
      </w:r>
    </w:p>
    <w:p w14:paraId="58324ED8">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（二）从事打桩、挖掘、地下掘进、爆破、架设、降水、灌浆、喷锚、钻探、地基加固等施工作业的；</w:t>
      </w:r>
    </w:p>
    <w:p w14:paraId="1D07A59D">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（三）修建水塘、开挖河道水渠、疏浚作业、采石、挖砂、取土、打井的；</w:t>
      </w:r>
    </w:p>
    <w:p w14:paraId="49693627">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（四）敷设管线或者设置跨线、吊装等架空作业，埋设电缆、管道设施，穿凿通过轨道交通路基的地下坑道的；</w:t>
      </w:r>
    </w:p>
    <w:p w14:paraId="644F3FE5">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（五）其他大面积增加或者减少载荷及危害</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轨道交通设施的活动。</w:t>
      </w:r>
    </w:p>
    <w:p w14:paraId="4F532A34">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上述作业穿过</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轨道交通线路下方时，安全防护方案应当经审查论证。</w:t>
      </w:r>
    </w:p>
    <w:p w14:paraId="3330173C">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第四十条</w:t>
      </w:r>
      <w:r>
        <w:rPr>
          <w:rFonts w:hint="eastAsia" w:ascii="仿宋" w:hAnsi="仿宋" w:eastAsia="仿宋" w:cs="仿宋"/>
          <w:spacing w:val="6"/>
          <w:kern w:val="2"/>
          <w:sz w:val="32"/>
          <w:szCs w:val="32"/>
          <w:highlight w:val="none"/>
          <w:lang w:eastAsia="zh-CN"/>
        </w:rPr>
        <w:t xml:space="preserve"> 作业单位从事本条例第三十九条所列活动时，应当采取相应的安全保护措施，保证轨道交通建设、运营安全。</w:t>
      </w:r>
    </w:p>
    <w:p w14:paraId="56F8211A">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作业过程中出现危及运营安全情形时，作业单位应当立即停止作业，采取补救措施，并报告审批作业的主管部门和</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w:t>
      </w:r>
    </w:p>
    <w:p w14:paraId="081AC727">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作业跨越、穿越</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轨道交通设施的，作业单位应当会同运营单位评估作业对</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轨道交通运营的影响，经评估影响运营安全的，作业单位应当立即采取措施，消除影响。</w:t>
      </w:r>
    </w:p>
    <w:p w14:paraId="46A361CD">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第四十一条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轨道交通建设单位、运营单位应当对保护区进行日常管理，对保护区内的作业情况进行安全监督，发现危及</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轨道交通安全的情形时，应当及时制止并报告相关主管部门处理。</w:t>
      </w:r>
    </w:p>
    <w:p w14:paraId="50637344">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ascii="仿宋" w:hAnsi="仿宋" w:eastAsia="黑体" w:cs="仿宋"/>
          <w:kern w:val="2"/>
          <w:sz w:val="32"/>
          <w:szCs w:val="32"/>
          <w:highlight w:val="none"/>
          <w:lang w:eastAsia="zh-CN"/>
        </w:rPr>
      </w:pPr>
      <w:r>
        <w:rPr>
          <w:rFonts w:hint="eastAsia" w:ascii="仿宋" w:hAnsi="仿宋" w:eastAsia="黑体" w:cs="仿宋"/>
          <w:kern w:val="2"/>
          <w:sz w:val="32"/>
          <w:szCs w:val="32"/>
          <w:highlight w:val="none"/>
          <w:lang w:eastAsia="zh-CN"/>
        </w:rPr>
        <w:t>第六章  应急与处置</w:t>
      </w:r>
    </w:p>
    <w:p w14:paraId="25F5D3DA">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第四十二条</w:t>
      </w:r>
      <w:r>
        <w:rPr>
          <w:rFonts w:hint="eastAsia" w:ascii="仿宋" w:hAnsi="仿宋" w:eastAsia="仿宋" w:cs="仿宋"/>
          <w:spacing w:val="6"/>
          <w:kern w:val="2"/>
          <w:sz w:val="32"/>
          <w:szCs w:val="32"/>
          <w:highlight w:val="none"/>
          <w:lang w:eastAsia="zh-CN"/>
        </w:rPr>
        <w:t xml:space="preserve"> 市</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轨道交通建设、交通运输主管部门应当会同有关部门制定本市</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轨道交通建设、运营突发事件应急预案，报市人民政府批准后实施。</w:t>
      </w:r>
    </w:p>
    <w:p w14:paraId="62CD19D3">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轨道交通建设单位、运营单位应当根据应急预案制定</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轨道交通建设、运营突发事件应急处置方案，分别报市建设、交通运输、</w:t>
      </w:r>
      <w:r>
        <w:rPr>
          <w:rFonts w:hint="eastAsia" w:ascii="仿宋" w:hAnsi="仿宋" w:eastAsia="仿宋" w:cs="仿宋"/>
          <w:spacing w:val="6"/>
          <w:kern w:val="2"/>
          <w:sz w:val="32"/>
          <w:szCs w:val="32"/>
          <w:highlight w:val="none"/>
          <w:bdr w:val="single" w:color="auto" w:sz="4" w:space="0"/>
          <w:lang w:eastAsia="zh-CN"/>
        </w:rPr>
        <w:t>安全生产监督</w:t>
      </w:r>
      <w:r>
        <w:rPr>
          <w:rFonts w:hint="eastAsia" w:ascii="黑体" w:hAnsi="黑体" w:eastAsia="黑体" w:cs="仿宋"/>
          <w:spacing w:val="6"/>
          <w:kern w:val="2"/>
          <w:sz w:val="32"/>
          <w:szCs w:val="32"/>
          <w:highlight w:val="none"/>
          <w:lang w:eastAsia="zh-CN"/>
        </w:rPr>
        <w:t>应急</w:t>
      </w:r>
      <w:r>
        <w:rPr>
          <w:rFonts w:hint="eastAsia" w:ascii="仿宋" w:hAnsi="仿宋" w:eastAsia="仿宋" w:cs="仿宋"/>
          <w:spacing w:val="6"/>
          <w:kern w:val="2"/>
          <w:sz w:val="32"/>
          <w:szCs w:val="32"/>
          <w:highlight w:val="none"/>
          <w:lang w:eastAsia="zh-CN"/>
        </w:rPr>
        <w:t>管理等部门备案。</w:t>
      </w:r>
    </w:p>
    <w:p w14:paraId="6986321E">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第四十三条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轨道交通建设单位、运营单位应当配套建设应急救援场所，配备相应的设施、设备，储备相应物资，建立与全市应急保障体系联动的机制。</w:t>
      </w:r>
    </w:p>
    <w:p w14:paraId="5C3DA6DA">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轨道交通建设单位、运营单位应当配备专门的应急抢险车辆，统一设置应急抢险标识，经相关主管部门同意，并报公安交通管理部门办理应急抢险车辆手续。</w:t>
      </w:r>
    </w:p>
    <w:p w14:paraId="171B95D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第四十四条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轨道交通发生突发事件，</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轨道交通建设单位或者运营单位应当迅速采取有效措施，进行先期处置、抢救，疏散人群，防止事故扩大，避免和减少人员伤亡、财产损失，并及时向市人民政府应急管理部门和相关主管部门报告。</w:t>
      </w:r>
    </w:p>
    <w:p w14:paraId="1850C2E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相关主管部门应当根据突发事件的可控性、严重程度和影响范围及时向上级报告或者按照规定启动相应级别的</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轨道交通应急预案，及时处置，并应当依照规定，建立突发事件信息发布制度，及时将突发事件处置、救援等信息向公众发布。</w:t>
      </w:r>
    </w:p>
    <w:p w14:paraId="02831FD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第四十五条</w:t>
      </w:r>
      <w:r>
        <w:rPr>
          <w:rFonts w:hint="eastAsia" w:ascii="仿宋" w:hAnsi="仿宋" w:eastAsia="仿宋" w:cs="仿宋"/>
          <w:spacing w:val="6"/>
          <w:kern w:val="2"/>
          <w:sz w:val="32"/>
          <w:szCs w:val="32"/>
          <w:highlight w:val="none"/>
          <w:lang w:eastAsia="zh-CN"/>
        </w:rPr>
        <w:t xml:space="preserve"> 市有关部门、突发事件所在地县（市）、区人民政府以及供电、供水、供气、供热、通信等单位，应当按</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照轨道交通突发事件应急预案，进行应急保障和抢险救援，尽快恢复</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轨道交通建设、运营。</w:t>
      </w:r>
    </w:p>
    <w:p w14:paraId="4CF33E3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第四十六条</w:t>
      </w:r>
      <w:r>
        <w:rPr>
          <w:rFonts w:hint="eastAsia" w:ascii="仿宋" w:hAnsi="仿宋" w:eastAsia="仿宋" w:cs="仿宋"/>
          <w:spacing w:val="6"/>
          <w:kern w:val="2"/>
          <w:sz w:val="32"/>
          <w:szCs w:val="32"/>
          <w:highlight w:val="none"/>
          <w:lang w:eastAsia="zh-CN"/>
        </w:rPr>
        <w:t xml:space="preserve"> </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轨道交通运营发生一般性交通事故时，应当按照先恢复运行，后处理事故的原则处理。</w:t>
      </w:r>
    </w:p>
    <w:p w14:paraId="257D38A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第四十七条</w:t>
      </w:r>
      <w:r>
        <w:rPr>
          <w:rFonts w:hint="eastAsia" w:ascii="仿宋" w:hAnsi="仿宋" w:eastAsia="仿宋" w:cs="仿宋"/>
          <w:spacing w:val="6"/>
          <w:kern w:val="2"/>
          <w:sz w:val="32"/>
          <w:szCs w:val="32"/>
          <w:highlight w:val="none"/>
          <w:lang w:eastAsia="zh-CN"/>
        </w:rPr>
        <w:t xml:space="preserve"> 因节假日、大型群众活动等原因引起客流量上升，</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轨道交通运营单位应当及时增加运力，疏导乘客。</w:t>
      </w:r>
    </w:p>
    <w:p w14:paraId="4FF26343">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当发生</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轨道交通客流量激增而可能危及运营安全时，</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轨道交通运营单位应当采取限制客流量的措施，确保运营安全。</w:t>
      </w:r>
    </w:p>
    <w:p w14:paraId="20D6D4F6">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采取限制客流量等措施后仍然无法保证运营安全时，</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轨道交通运营单位可以停止</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轨道交通线路部分区段或者全线的运营，并应当立即报告市交通运输主管部门。</w:t>
      </w:r>
    </w:p>
    <w:p w14:paraId="6CB4B01D">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采取限制客流量、停运措施，造成客流量大量积压的，市交通运输主管部门应当组织采取疏运等应对措施，并及时向公众发布信息。</w:t>
      </w:r>
    </w:p>
    <w:p w14:paraId="17E6A903">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ascii="仿宋" w:hAnsi="仿宋" w:eastAsia="黑体" w:cs="仿宋"/>
          <w:kern w:val="2"/>
          <w:sz w:val="32"/>
          <w:szCs w:val="32"/>
          <w:highlight w:val="none"/>
          <w:lang w:eastAsia="zh-CN"/>
        </w:rPr>
      </w:pPr>
      <w:r>
        <w:rPr>
          <w:rFonts w:hint="eastAsia" w:ascii="仿宋" w:hAnsi="仿宋" w:eastAsia="黑体" w:cs="仿宋"/>
          <w:kern w:val="2"/>
          <w:sz w:val="32"/>
          <w:szCs w:val="32"/>
          <w:highlight w:val="none"/>
          <w:lang w:eastAsia="zh-CN"/>
        </w:rPr>
        <w:t>第七章  法律责任</w:t>
      </w:r>
    </w:p>
    <w:p w14:paraId="72F121E4">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第四十八条</w:t>
      </w:r>
      <w:r>
        <w:rPr>
          <w:rFonts w:hint="eastAsia" w:ascii="仿宋" w:hAnsi="仿宋" w:eastAsia="仿宋" w:cs="仿宋"/>
          <w:spacing w:val="6"/>
          <w:kern w:val="2"/>
          <w:sz w:val="32"/>
          <w:szCs w:val="32"/>
          <w:highlight w:val="none"/>
          <w:lang w:eastAsia="zh-CN"/>
        </w:rPr>
        <w:t xml:space="preserve"> 违反本条例第十四条规定，</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轨道交通建设单位、运营单位未经市人民政府批准擅自在轨道交通用地范围和空间内进行综合开发活动，或者综合开发未优先建设</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配套设施，统筹安排公共交通枢纽、交通换乘设施、公共步行空间等公共配套设施的，由市轨道交通建设、交通运输主管部门、市国有资产监督管理机构依照职权予以警告，责令限期改正，并依法追究主管人员和其他直接责任人员的责任。</w:t>
      </w:r>
    </w:p>
    <w:p w14:paraId="6BB2A57F">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第四十九条</w:t>
      </w:r>
      <w:r>
        <w:rPr>
          <w:rFonts w:hint="eastAsia" w:ascii="仿宋" w:hAnsi="仿宋" w:eastAsia="仿宋" w:cs="仿宋"/>
          <w:spacing w:val="6"/>
          <w:kern w:val="2"/>
          <w:sz w:val="32"/>
          <w:szCs w:val="32"/>
          <w:highlight w:val="none"/>
          <w:lang w:eastAsia="zh-CN"/>
        </w:rPr>
        <w:t xml:space="preserve"> 违反本条例规定，</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轨道交通运营单位有下列情形之一的，由市交通运输主管部门责令改正，并可处五千元以下罚款：</w:t>
      </w:r>
    </w:p>
    <w:p w14:paraId="3F83F25F">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（一）违反本条例第二十四条第二款规定，未按照规定公布有关事项的；</w:t>
      </w:r>
    </w:p>
    <w:p w14:paraId="43F5FC74">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（二）违反本条例第二十六条第一款规定，未统一设置安全、消防、疏散等各类导向标识的。</w:t>
      </w:r>
    </w:p>
    <w:p w14:paraId="65E30EFC">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第五十条</w:t>
      </w:r>
      <w:r>
        <w:rPr>
          <w:rFonts w:hint="eastAsia" w:ascii="仿宋" w:hAnsi="仿宋" w:eastAsia="仿宋" w:cs="仿宋"/>
          <w:spacing w:val="6"/>
          <w:kern w:val="2"/>
          <w:sz w:val="32"/>
          <w:szCs w:val="32"/>
          <w:highlight w:val="none"/>
          <w:lang w:eastAsia="zh-CN"/>
        </w:rPr>
        <w:t xml:space="preserve"> 违反本条例规定，</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轨道交通运营单位有下列情形之一的，由市交通运输主管部门责令改正，并可处一万元以下罚款：</w:t>
      </w:r>
    </w:p>
    <w:p w14:paraId="52C2C930">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（一）违反本条例第二十七条规定，未按照国家和省、市有关</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轨道交通设施的安全标准和技术规范设置安全器材和设备，或者未保持完好的；</w:t>
      </w:r>
    </w:p>
    <w:p w14:paraId="15AD2901">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仿宋" w:cs="仿宋"/>
          <w:spacing w:val="6"/>
          <w:kern w:val="2"/>
          <w:sz w:val="32"/>
          <w:szCs w:val="32"/>
          <w:highlight w:val="none"/>
          <w:lang w:eastAsia="zh-CN"/>
        </w:rPr>
        <w:t>（二）违反本条例第四十二条第二款规定，未按照规定制定运营突发事件应急处置方案的。</w:t>
      </w:r>
    </w:p>
    <w:p w14:paraId="53E0C96E">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第五十一条</w:t>
      </w:r>
      <w:r>
        <w:rPr>
          <w:rFonts w:hint="eastAsia" w:ascii="仿宋" w:hAnsi="仿宋" w:eastAsia="仿宋" w:cs="仿宋"/>
          <w:spacing w:val="6"/>
          <w:kern w:val="2"/>
          <w:sz w:val="32"/>
          <w:szCs w:val="32"/>
          <w:highlight w:val="none"/>
          <w:lang w:eastAsia="zh-CN"/>
        </w:rPr>
        <w:t xml:space="preserve"> 违反本条例第二十八条规定，</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轨道交通运营单位擅自暂停线路运行的，由市交通运输主管部门责令改正，处三万元以下罚款。</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轨道交通运行过程中发生故障、突发事件危及安全运行，未及时组织乘客疏散和换乘的，由市交通运输主管部门给予警告，并处五千元以下罚款。构成犯罪的，依法追究刑事责任。</w:t>
      </w:r>
    </w:p>
    <w:p w14:paraId="42597290">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第五十二条</w:t>
      </w:r>
      <w:r>
        <w:rPr>
          <w:rFonts w:hint="eastAsia" w:ascii="仿宋" w:hAnsi="仿宋" w:eastAsia="仿宋" w:cs="仿宋"/>
          <w:spacing w:val="6"/>
          <w:kern w:val="2"/>
          <w:sz w:val="32"/>
          <w:szCs w:val="32"/>
          <w:highlight w:val="none"/>
          <w:lang w:eastAsia="zh-CN"/>
        </w:rPr>
        <w:t xml:space="preserve"> 违反本条例第三十条第二款规定，乘客无票或者使用无效车票乘车，持伪造、变造的优惠乘车证件或者冒用他人优惠乘车证件购票乘车的，由</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轨道交通运营单位按照出闸站线网单程最高票价补收票款，并可加收五倍以下的票款。</w:t>
      </w:r>
    </w:p>
    <w:p w14:paraId="61A755B0">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第五十三条</w:t>
      </w:r>
      <w:r>
        <w:rPr>
          <w:rFonts w:hint="eastAsia" w:ascii="仿宋" w:hAnsi="仿宋" w:eastAsia="仿宋" w:cs="仿宋"/>
          <w:spacing w:val="6"/>
          <w:kern w:val="2"/>
          <w:sz w:val="32"/>
          <w:szCs w:val="32"/>
          <w:highlight w:val="none"/>
          <w:lang w:eastAsia="zh-CN"/>
        </w:rPr>
        <w:t xml:space="preserve"> 违反本条例第三十条第三款、第三十一条第一款、第三十二条规定，倒卖</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轨道交通车票、携带危险物品进站乘车或者有损害</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轨道交通设施、影响运营安全行为的，由</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轨道交通运营单位进行劝阻和制止，可以责令行为人离开</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轨道交通设施或者拒绝为其提供客运服务，造成损失的，依法承担赔偿责任。违反《中华人民共和国治安管理处罚法》的，由公安机关给予处罚。构成犯罪的，依法追究刑事责任。</w:t>
      </w:r>
    </w:p>
    <w:p w14:paraId="42114A0B">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第五十四条</w:t>
      </w:r>
      <w:r>
        <w:rPr>
          <w:rFonts w:hint="eastAsia" w:ascii="仿宋" w:hAnsi="仿宋" w:eastAsia="仿宋" w:cs="仿宋"/>
          <w:spacing w:val="6"/>
          <w:kern w:val="2"/>
          <w:sz w:val="32"/>
          <w:szCs w:val="32"/>
          <w:highlight w:val="none"/>
          <w:lang w:eastAsia="zh-CN"/>
        </w:rPr>
        <w:t xml:space="preserve"> 违反本条例第三十三条规定，在车站和列车内，有影响</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轨道交通行为的，由轨道交通运营单位责令改正；拒不改正的，处二十元以上五十元以下罚款；情节严重的，处五十元以上二百元以下罚款。</w:t>
      </w:r>
    </w:p>
    <w:p w14:paraId="254F9402">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第五十五条</w:t>
      </w:r>
      <w:r>
        <w:rPr>
          <w:rFonts w:hint="eastAsia" w:ascii="仿宋" w:hAnsi="仿宋" w:eastAsia="仿宋" w:cs="仿宋"/>
          <w:spacing w:val="6"/>
          <w:kern w:val="2"/>
          <w:sz w:val="32"/>
          <w:szCs w:val="32"/>
          <w:highlight w:val="none"/>
          <w:lang w:eastAsia="zh-CN"/>
        </w:rPr>
        <w:t xml:space="preserve"> 违反本条例第三十九条第一款规定，作业单位未制定安全防护方案或者未征得</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轨道交通运营单位同意的，由市交通运输主管部门给予警告，责令限期改正，并可处一万元以上三万元以下罚款。</w:t>
      </w:r>
    </w:p>
    <w:p w14:paraId="209B87A9">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第五十六条</w:t>
      </w:r>
      <w:r>
        <w:rPr>
          <w:rFonts w:hint="eastAsia" w:ascii="仿宋" w:hAnsi="仿宋" w:eastAsia="仿宋" w:cs="仿宋"/>
          <w:spacing w:val="6"/>
          <w:kern w:val="2"/>
          <w:sz w:val="32"/>
          <w:szCs w:val="32"/>
          <w:highlight w:val="none"/>
          <w:lang w:eastAsia="zh-CN"/>
        </w:rPr>
        <w:t xml:space="preserve"> 有关主管部门、</w:t>
      </w:r>
      <w:r>
        <w:rPr>
          <w:rFonts w:hint="eastAsia" w:ascii="黑体" w:hAnsi="黑体" w:eastAsia="黑体" w:cs="仿宋"/>
          <w:spacing w:val="6"/>
          <w:kern w:val="2"/>
          <w:sz w:val="32"/>
          <w:szCs w:val="32"/>
          <w:highlight w:val="none"/>
          <w:lang w:eastAsia="zh-CN"/>
        </w:rPr>
        <w:t>城市</w:t>
      </w:r>
      <w:r>
        <w:rPr>
          <w:rFonts w:hint="eastAsia" w:ascii="仿宋" w:hAnsi="仿宋" w:eastAsia="仿宋" w:cs="仿宋"/>
          <w:spacing w:val="6"/>
          <w:kern w:val="2"/>
          <w:sz w:val="32"/>
          <w:szCs w:val="32"/>
          <w:highlight w:val="none"/>
          <w:lang w:eastAsia="zh-CN"/>
        </w:rPr>
        <w:t>轨道交通建设单位、运营单位工作人员不履行职责，玩忽职守、滥用职权、徇私舞弊的，由其所在单位或者相关部门依法给予处分；构成犯罪的，依法追究刑事责任。</w:t>
      </w:r>
    </w:p>
    <w:p w14:paraId="45E1AC96">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ascii="仿宋" w:hAnsi="仿宋" w:eastAsia="黑体" w:cs="仿宋"/>
          <w:kern w:val="2"/>
          <w:sz w:val="32"/>
          <w:szCs w:val="32"/>
          <w:highlight w:val="none"/>
          <w:lang w:eastAsia="zh-CN"/>
        </w:rPr>
      </w:pPr>
      <w:r>
        <w:rPr>
          <w:rFonts w:hint="eastAsia" w:ascii="仿宋" w:hAnsi="仿宋" w:eastAsia="黑体" w:cs="仿宋"/>
          <w:kern w:val="2"/>
          <w:sz w:val="32"/>
          <w:szCs w:val="32"/>
          <w:highlight w:val="none"/>
          <w:lang w:eastAsia="zh-CN"/>
        </w:rPr>
        <w:t>第八章  附  则</w:t>
      </w:r>
    </w:p>
    <w:p w14:paraId="5EF89571">
      <w:pPr>
        <w:keepNext w:val="0"/>
        <w:keepLines w:val="0"/>
        <w:pageBreakBefore w:val="0"/>
        <w:widowControl w:val="0"/>
        <w:kinsoku/>
        <w:wordWrap/>
        <w:overflowPunct w:val="0"/>
        <w:topLinePunct w:val="0"/>
        <w:autoSpaceDE/>
        <w:autoSpaceDN/>
        <w:bidi w:val="0"/>
        <w:adjustRightInd w:val="0"/>
        <w:snapToGrid w:val="0"/>
        <w:spacing w:after="0" w:line="600" w:lineRule="exact"/>
        <w:ind w:firstLine="658" w:firstLineChars="200"/>
        <w:jc w:val="both"/>
        <w:textAlignment w:val="auto"/>
        <w:rPr>
          <w:rFonts w:ascii="仿宋" w:hAnsi="仿宋" w:eastAsia="仿宋" w:cs="仿宋"/>
          <w:spacing w:val="6"/>
          <w:kern w:val="2"/>
          <w:sz w:val="32"/>
          <w:szCs w:val="32"/>
          <w:highlight w:val="none"/>
          <w:lang w:eastAsia="zh-CN"/>
        </w:rPr>
      </w:pPr>
      <w:r>
        <w:rPr>
          <w:rFonts w:hint="eastAsia" w:ascii="仿宋" w:hAnsi="仿宋" w:eastAsia="黑体" w:cs="仿宋"/>
          <w:spacing w:val="6"/>
          <w:kern w:val="2"/>
          <w:sz w:val="32"/>
          <w:szCs w:val="32"/>
          <w:highlight w:val="none"/>
          <w:lang w:eastAsia="zh-CN"/>
        </w:rPr>
        <w:t>第五十七条</w:t>
      </w:r>
      <w:r>
        <w:rPr>
          <w:rFonts w:hint="eastAsia" w:ascii="仿宋" w:hAnsi="仿宋" w:eastAsia="仿宋" w:cs="仿宋"/>
          <w:spacing w:val="6"/>
          <w:kern w:val="2"/>
          <w:sz w:val="32"/>
          <w:szCs w:val="32"/>
          <w:highlight w:val="none"/>
          <w:lang w:eastAsia="zh-CN"/>
        </w:rPr>
        <w:t xml:space="preserve"> 本条例自2015年7月1日起施行。</w:t>
      </w:r>
    </w:p>
    <w:p w14:paraId="0A196B77">
      <w:pPr>
        <w:keepNext w:val="0"/>
        <w:keepLines w:val="0"/>
        <w:pageBreakBefore w:val="0"/>
        <w:widowControl w:val="0"/>
        <w:kinsoku/>
        <w:wordWrap/>
        <w:topLinePunct w:val="0"/>
        <w:autoSpaceDE/>
        <w:autoSpaceDN/>
        <w:bidi w:val="0"/>
        <w:spacing w:line="600" w:lineRule="exact"/>
        <w:textAlignment w:val="auto"/>
        <w:rPr>
          <w:highlight w:val="none"/>
        </w:rPr>
      </w:pPr>
    </w:p>
    <w:sectPr>
      <w:footerReference r:id="rId3" w:type="default"/>
      <w:pgSz w:w="11906" w:h="16838"/>
      <w:pgMar w:top="1440" w:right="1803" w:bottom="1440" w:left="1800" w:header="851" w:footer="992" w:gutter="0"/>
      <w:pgNumType w:fmt="decimal"/>
      <w:cols w:space="0" w:num="1"/>
      <w:rtlGutter w:val="0"/>
      <w:docGrid w:type="linesAndChars" w:linePitch="597" w:charSpace="-6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5D89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5602F">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35602F">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1C0135"/>
    <w:rsid w:val="03904130"/>
    <w:rsid w:val="0DCC1DC1"/>
    <w:rsid w:val="1AD80206"/>
    <w:rsid w:val="1E1C0135"/>
    <w:rsid w:val="1E9858BE"/>
    <w:rsid w:val="24422610"/>
    <w:rsid w:val="2F731EE4"/>
    <w:rsid w:val="34E52CFB"/>
    <w:rsid w:val="4B6F5985"/>
    <w:rsid w:val="4D2B5402"/>
    <w:rsid w:val="5AAE70AA"/>
    <w:rsid w:val="5DB46EC8"/>
    <w:rsid w:val="778B2254"/>
    <w:rsid w:val="7AFE6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link w:val="11"/>
    <w:autoRedefine/>
    <w:qFormat/>
    <w:uiPriority w:val="0"/>
    <w:pPr>
      <w:keepNext/>
      <w:keepLines/>
      <w:spacing w:before="50" w:beforeLines="50" w:after="50" w:afterLines="50" w:line="600" w:lineRule="exact"/>
      <w:jc w:val="center"/>
      <w:outlineLvl w:val="0"/>
    </w:pPr>
    <w:rPr>
      <w:rFonts w:ascii="黑体" w:hAnsi="黑体" w:eastAsia="黑体" w:cs="黑体"/>
      <w:bCs/>
      <w:kern w:val="44"/>
      <w:szCs w:val="32"/>
      <w:highlight w:val="none"/>
    </w:rPr>
  </w:style>
  <w:style w:type="paragraph" w:styleId="3">
    <w:name w:val="heading 2"/>
    <w:basedOn w:val="1"/>
    <w:next w:val="1"/>
    <w:autoRedefine/>
    <w:semiHidden/>
    <w:unhideWhenUsed/>
    <w:qFormat/>
    <w:uiPriority w:val="0"/>
    <w:pPr>
      <w:keepNext/>
      <w:keepLines/>
      <w:spacing w:beforeLines="0" w:beforeAutospacing="0" w:afterLines="0" w:afterAutospacing="0" w:line="240" w:lineRule="auto"/>
      <w:ind w:firstLine="640" w:firstLineChars="200"/>
      <w:outlineLvl w:val="1"/>
    </w:pPr>
    <w:rPr>
      <w:rFonts w:ascii="Arial" w:hAnsi="Arial" w:eastAsia="楷体" w:cs="Times New Roman"/>
      <w:sz w:val="32"/>
      <w:szCs w:val="21"/>
    </w:rPr>
  </w:style>
  <w:style w:type="paragraph" w:styleId="4">
    <w:name w:val="heading 3"/>
    <w:basedOn w:val="1"/>
    <w:next w:val="1"/>
    <w:autoRedefine/>
    <w:semiHidden/>
    <w:unhideWhenUsed/>
    <w:qFormat/>
    <w:uiPriority w:val="0"/>
    <w:pPr>
      <w:keepNext/>
      <w:keepLines/>
      <w:spacing w:beforeLines="0" w:beforeAutospacing="0" w:afterLines="0" w:afterAutospacing="0" w:line="240" w:lineRule="auto"/>
      <w:ind w:firstLine="640" w:firstLineChars="200"/>
      <w:jc w:val="left"/>
      <w:outlineLvl w:val="2"/>
    </w:pPr>
    <w:rPr>
      <w:rFonts w:ascii="Times New Roman" w:hAnsi="Times New Roman" w:eastAsia="仿宋" w:cs="Times New Roman"/>
      <w:b/>
      <w:sz w:val="32"/>
      <w:szCs w:val="21"/>
    </w:rPr>
  </w:style>
  <w:style w:type="character" w:default="1" w:styleId="10">
    <w:name w:val="Default Paragraph Font"/>
    <w:autoRedefine/>
    <w:semiHidden/>
    <w:unhideWhenUsed/>
    <w:qFormat/>
    <w:uiPriority w:val="1"/>
  </w:style>
  <w:style w:type="table" w:default="1" w:styleId="8">
    <w:name w:val="Normal Table"/>
    <w:autoRedefin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rPr>
      <w:rFonts w:eastAsia="微软雅黑"/>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1 字符"/>
    <w:link w:val="2"/>
    <w:autoRedefine/>
    <w:qFormat/>
    <w:uiPriority w:val="0"/>
    <w:rPr>
      <w:rFonts w:ascii="黑体" w:hAnsi="黑体" w:eastAsia="黑体" w:cs="黑体"/>
      <w:bCs/>
      <w:kern w:val="44"/>
      <w:sz w:val="32"/>
      <w:szCs w:val="32"/>
      <w:highlight w:val="none"/>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7183</Words>
  <Characters>7186</Characters>
  <Lines>0</Lines>
  <Paragraphs>0</Paragraphs>
  <TotalTime>3</TotalTime>
  <ScaleCrop>false</ScaleCrop>
  <LinksUpToDate>false</LinksUpToDate>
  <CharactersWithSpaces>7269</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2026-08-25T01:57:00Z</dcterms:created>
  <dc:creator>田菲</dc:creator>
  <cp:lastModifiedBy>田菲</cp:lastModifiedBy>
  <dcterms:modified xsi:type="dcterms:W3CDTF">2026-08-25T02:11:02Z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1FACEDAAAE15480C8A9C71E782BB1602_11</vt:lpwstr>
  </property>
  <property fmtid="{D5CDD505-2E9C-101B-9397-08002B2CF9AE}" pid="4" name="KSOTemplateDocerSaveRecord">
    <vt:lpwstr>eyJoZGlkIjoiNWM3NTM2ZTdmOWQwM2QxMDIxZTAxZjQzOGI2YmYxNjYiLCJ1c2VySWQiOiIyNzQ2NjU3MjgifQ==</vt:lpwstr>
  </property>
</Properties>
</file>